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GAZTELANIA DBH 4</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114300</wp:posOffset>
                </wp:positionV>
                <wp:extent cx="5590230" cy="1395030"/>
                <wp:effectExtent b="0" l="0" r="0" t="0"/>
                <wp:wrapSquare wrapText="bothSides" distB="0" distT="0" distL="114300" distR="114300"/>
                <wp:docPr id="6" name=""/>
                <a:graphic>
                  <a:graphicData uri="http://schemas.microsoft.com/office/word/2010/wordprocessingShape">
                    <wps:wsp>
                      <wps:cNvSpPr/>
                      <wps:cNvPr id="12" name="Shape 12"/>
                      <wps:spPr>
                        <a:xfrm>
                          <a:off x="2441550" y="645400"/>
                          <a:ext cx="5951700" cy="13998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Viendo su estructura, ¿podemos deducir en qué ámbito de uso fue publicado?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concreto, ¿dónde se publicó el texto? ¿Quién es su autora?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Tras analizar su título, ¿podemos saber el motivo que llevó a la autora a escribirlo?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sabemos sobre el tema? Vuestras aportaciones</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114300</wp:posOffset>
                </wp:positionV>
                <wp:extent cx="5590230" cy="1395030"/>
                <wp:effectExtent b="0" l="0" r="0" t="0"/>
                <wp:wrapSquare wrapText="bothSides" distB="0" distT="0" distL="114300" distR="114300"/>
                <wp:docPr id="6"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5590230" cy="1395030"/>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285750</wp:posOffset>
            </wp:positionV>
            <wp:extent cx="2198349" cy="1590675"/>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98349" cy="1590675"/>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28575</wp:posOffset>
                </wp:positionV>
                <wp:extent cx="2847975" cy="1240529"/>
                <wp:effectExtent b="0" l="0" r="0" t="0"/>
                <wp:wrapSquare wrapText="bothSides" distB="0" distT="0" distL="114300" distR="114300"/>
                <wp:docPr id="4" name=""/>
                <a:graphic>
                  <a:graphicData uri="http://schemas.microsoft.com/office/word/2010/wordprocessingShape">
                    <wps:wsp>
                      <wps:cNvSpPr/>
                      <wps:cNvPr id="11" name="Shape 11"/>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que no entiendas en el texto. Al finalizar la lectura propondremos una definición para ellas.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28575</wp:posOffset>
                </wp:positionV>
                <wp:extent cx="2847975" cy="1240529"/>
                <wp:effectExtent b="0" l="0" r="0" t="0"/>
                <wp:wrapSquare wrapText="bothSides" distB="0" distT="0" distL="114300" distR="114300"/>
                <wp:docPr id="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847975" cy="1240529"/>
                        </a:xfrm>
                        <a:prstGeom prst="rect"/>
                        <a:ln/>
                      </pic:spPr>
                    </pic:pic>
                  </a:graphicData>
                </a:graphic>
              </wp:anchor>
            </w:drawing>
          </mc:Fallback>
        </mc:AlternateContent>
      </w:r>
    </w:p>
    <w:p w:rsidR="00000000" w:rsidDel="00000000" w:rsidP="00000000" w:rsidRDefault="00000000" w:rsidRPr="00000000" w14:paraId="00000005">
      <w:pPr>
        <w:shd w:fill="ffffff" w:val="clear"/>
        <w:spacing w:before="240" w:lineRule="auto"/>
        <w:jc w:val="left"/>
        <w:rPr>
          <w:b w:val="1"/>
          <w:color w:val="333333"/>
          <w:sz w:val="16"/>
          <w:szCs w:val="16"/>
        </w:rPr>
      </w:pPr>
      <w:r w:rsidDel="00000000" w:rsidR="00000000" w:rsidRPr="00000000">
        <w:rPr>
          <w:rtl w:val="0"/>
        </w:rPr>
      </w:r>
    </w:p>
    <w:p w:rsidR="00000000" w:rsidDel="00000000" w:rsidP="00000000" w:rsidRDefault="00000000" w:rsidRPr="00000000" w14:paraId="00000006">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7">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8">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9">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A">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B">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C">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D">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E">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0F">
      <w:pPr>
        <w:shd w:fill="ffffff" w:val="clear"/>
        <w:spacing w:before="0" w:lineRule="auto"/>
        <w:ind w:hanging="425.19685039370086"/>
        <w:jc w:val="left"/>
        <w:rPr>
          <w:b w:val="1"/>
          <w:color w:val="333333"/>
          <w:sz w:val="16"/>
          <w:szCs w:val="16"/>
        </w:rPr>
      </w:pPr>
      <w:r w:rsidDel="00000000" w:rsidR="00000000" w:rsidRPr="00000000">
        <w:rPr>
          <w:rtl w:val="0"/>
        </w:rPr>
      </w:r>
    </w:p>
    <w:p w:rsidR="00000000" w:rsidDel="00000000" w:rsidP="00000000" w:rsidRDefault="00000000" w:rsidRPr="00000000" w14:paraId="00000010">
      <w:pPr>
        <w:shd w:fill="ffffff" w:val="clear"/>
        <w:spacing w:before="0" w:lineRule="auto"/>
        <w:ind w:hanging="708.6614173228347"/>
        <w:jc w:val="left"/>
        <w:rPr>
          <w:b w:val="1"/>
          <w:color w:val="333333"/>
          <w:sz w:val="16"/>
          <w:szCs w:val="16"/>
        </w:rPr>
      </w:pPr>
      <w:r w:rsidDel="00000000" w:rsidR="00000000" w:rsidRPr="00000000">
        <w:rPr>
          <w:b w:val="1"/>
          <w:color w:val="333333"/>
          <w:sz w:val="16"/>
          <w:szCs w:val="16"/>
          <w:rtl w:val="0"/>
        </w:rPr>
        <w:t xml:space="preserve">Un grupo de mujeres votando por primera vez en Nueva York en 1920. </w:t>
      </w:r>
    </w:p>
    <w:p w:rsidR="00000000" w:rsidDel="00000000" w:rsidP="00000000" w:rsidRDefault="00000000" w:rsidRPr="00000000" w14:paraId="00000011">
      <w:pPr>
        <w:shd w:fill="ffffff" w:val="clear"/>
        <w:spacing w:before="0" w:lineRule="auto"/>
        <w:ind w:hanging="425.19685039370086"/>
        <w:jc w:val="left"/>
        <w:rPr>
          <w:rFonts w:ascii="Arial" w:cs="Arial" w:eastAsia="Arial" w:hAnsi="Arial"/>
          <w:b w:val="0"/>
          <w:i w:val="0"/>
          <w:smallCaps w:val="0"/>
          <w:strike w:val="0"/>
          <w:color w:val="333333"/>
          <w:sz w:val="16"/>
          <w:szCs w:val="16"/>
          <w:u w:val="none"/>
          <w:shd w:fill="auto" w:val="clear"/>
          <w:vertAlign w:val="baseline"/>
        </w:rPr>
      </w:pPr>
      <w:r w:rsidDel="00000000" w:rsidR="00000000" w:rsidRPr="00000000">
        <w:rPr>
          <w:b w:val="1"/>
          <w:color w:val="333333"/>
          <w:sz w:val="16"/>
          <w:szCs w:val="16"/>
          <w:rtl w:val="0"/>
        </w:rPr>
        <w:t xml:space="preserve">Foto: Getty.</w:t>
      </w:r>
      <w:r w:rsidDel="00000000" w:rsidR="00000000" w:rsidRPr="00000000">
        <w:rPr>
          <w:rtl w:val="0"/>
        </w:rPr>
      </w:r>
    </w:p>
    <w:p w:rsidR="00000000" w:rsidDel="00000000" w:rsidP="00000000" w:rsidRDefault="00000000" w:rsidRPr="00000000" w14:paraId="00000012">
      <w:pPr>
        <w:shd w:fill="ffffff" w:val="clear"/>
        <w:spacing w:after="240" w:before="240" w:line="276" w:lineRule="auto"/>
        <w:jc w:val="center"/>
        <w:rPr>
          <w:b w:val="1"/>
          <w:color w:val="333333"/>
          <w:sz w:val="48"/>
          <w:szCs w:val="48"/>
        </w:rPr>
      </w:pPr>
      <w:r w:rsidDel="00000000" w:rsidR="00000000" w:rsidRPr="00000000">
        <w:rPr>
          <w:b w:val="1"/>
          <w:color w:val="333333"/>
          <w:sz w:val="48"/>
          <w:szCs w:val="48"/>
          <w:rtl w:val="0"/>
        </w:rPr>
        <w:t xml:space="preserve">Sufragismo</w:t>
      </w:r>
      <w:r w:rsidDel="00000000" w:rsidR="00000000" w:rsidRPr="00000000">
        <w:rPr>
          <w:b w:val="1"/>
          <w:color w:val="333333"/>
          <w:sz w:val="48"/>
          <w:szCs w:val="48"/>
          <w:rtl w:val="0"/>
        </w:rPr>
        <w:t xml:space="preserve">: 100 años del voto femenino en Estados Unidos</w:t>
      </w:r>
    </w:p>
    <w:p w:rsidR="00000000" w:rsidDel="00000000" w:rsidP="00000000" w:rsidRDefault="00000000" w:rsidRPr="00000000" w14:paraId="00000013">
      <w:pPr>
        <w:shd w:fill="f3f3f3" w:val="clear"/>
        <w:spacing w:line="276" w:lineRule="auto"/>
        <w:ind w:left="0" w:firstLine="0"/>
        <w:jc w:val="left"/>
        <w:rPr>
          <w:b w:val="1"/>
          <w:color w:val="333333"/>
          <w:sz w:val="24"/>
          <w:szCs w:val="24"/>
        </w:rPr>
      </w:pPr>
      <w:r w:rsidDel="00000000" w:rsidR="00000000" w:rsidRPr="00000000">
        <w:rPr>
          <w:b w:val="1"/>
          <w:color w:val="333333"/>
          <w:sz w:val="14"/>
          <w:szCs w:val="14"/>
          <w:rtl w:val="0"/>
        </w:rPr>
        <w:t xml:space="preserve">  </w:t>
      </w:r>
      <w:r w:rsidDel="00000000" w:rsidR="00000000" w:rsidRPr="00000000">
        <w:rPr>
          <w:rFonts w:ascii="Roboto" w:cs="Roboto" w:eastAsia="Roboto" w:hAnsi="Roboto"/>
          <w:b w:val="1"/>
          <w:color w:val="333333"/>
          <w:sz w:val="24"/>
          <w:szCs w:val="24"/>
          <w:rtl w:val="0"/>
        </w:rPr>
        <w:t xml:space="preserve">CARLA PINA, Martes, 7 enero 2020 - 17:39</w:t>
      </w:r>
      <w:r w:rsidDel="00000000" w:rsidR="00000000" w:rsidRPr="00000000">
        <w:rPr>
          <w:b w:val="1"/>
          <w:color w:val="333333"/>
          <w:sz w:val="24"/>
          <w:szCs w:val="24"/>
          <w:rtl w:val="0"/>
        </w:rPr>
        <w:t xml:space="preserve"> </w:t>
      </w:r>
    </w:p>
    <w:p w:rsidR="00000000" w:rsidDel="00000000" w:rsidP="00000000" w:rsidRDefault="00000000" w:rsidRPr="00000000" w14:paraId="00000014">
      <w:pPr>
        <w:shd w:fill="ffffff" w:val="clear"/>
        <w:spacing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Un 13 de julio de 1848, Jane Hunt, Lucretia Mott, Martha Wright, Mary Ann McClintock y Elizabeth Cady Stanton se reunían en casa de la primera para tomar un té. Durante la reunión, las invitadas comenzaron a discutir sobre los impedimentos que tenían las mujeres de la época: no podían votar, ni tener una casa, ni divorciarse, ni abortar.... Al finalizar su taza tenían claro que querían acabar con esa situación de desigualdad.</w:t>
      </w:r>
    </w:p>
    <w:p w:rsidR="00000000" w:rsidDel="00000000" w:rsidP="00000000" w:rsidRDefault="00000000" w:rsidRPr="00000000" w14:paraId="00000015">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Tan solo seis días después, el 19 de julio, tenía lugar en la capilla Wesleyan en Seneca Falls, Nueva York, la primera </w:t>
      </w:r>
      <w:r w:rsidDel="00000000" w:rsidR="00000000" w:rsidRPr="00000000">
        <w:rPr>
          <w:rFonts w:ascii="Arial" w:cs="Arial" w:eastAsia="Arial" w:hAnsi="Arial"/>
          <w:color w:val="202020"/>
          <w:sz w:val="22"/>
          <w:szCs w:val="22"/>
          <w:rtl w:val="0"/>
        </w:rPr>
        <w:t xml:space="preserve">convención</w:t>
      </w:r>
      <w:r w:rsidDel="00000000" w:rsidR="00000000" w:rsidRPr="00000000">
        <w:rPr>
          <w:rFonts w:ascii="Arial" w:cs="Arial" w:eastAsia="Arial" w:hAnsi="Arial"/>
          <w:color w:val="202020"/>
          <w:sz w:val="22"/>
          <w:szCs w:val="22"/>
          <w:rtl w:val="0"/>
        </w:rPr>
        <w:t xml:space="preserve"> sobre los derechos de la mujer. De aquel encuentro nació un texto: la Declaración de </w:t>
      </w:r>
      <w:r w:rsidDel="00000000" w:rsidR="00000000" w:rsidRPr="00000000">
        <w:rPr>
          <w:rFonts w:ascii="Arial" w:cs="Arial" w:eastAsia="Arial" w:hAnsi="Arial"/>
          <w:color w:val="202020"/>
          <w:sz w:val="22"/>
          <w:szCs w:val="22"/>
          <w:rtl w:val="0"/>
        </w:rPr>
        <w:t xml:space="preserve">Séneca</w:t>
      </w:r>
      <w:r w:rsidDel="00000000" w:rsidR="00000000" w:rsidRPr="00000000">
        <w:rPr>
          <w:rFonts w:ascii="Arial" w:cs="Arial" w:eastAsia="Arial" w:hAnsi="Arial"/>
          <w:color w:val="202020"/>
          <w:sz w:val="22"/>
          <w:szCs w:val="22"/>
          <w:rtl w:val="0"/>
        </w:rPr>
        <w:t xml:space="preserve"> Falls o la Declaración de Sentimientos, como ellas la llamaron, donde recogían las </w:t>
      </w:r>
      <w:r w:rsidDel="00000000" w:rsidR="00000000" w:rsidRPr="00000000">
        <w:rPr>
          <w:rFonts w:ascii="Arial" w:cs="Arial" w:eastAsia="Arial" w:hAnsi="Arial"/>
          <w:color w:val="202020"/>
          <w:sz w:val="22"/>
          <w:szCs w:val="22"/>
          <w:rtl w:val="0"/>
        </w:rPr>
        <w:t xml:space="preserve">restricciones</w:t>
      </w:r>
      <w:r w:rsidDel="00000000" w:rsidR="00000000" w:rsidRPr="00000000">
        <w:rPr>
          <w:rFonts w:ascii="Arial" w:cs="Arial" w:eastAsia="Arial" w:hAnsi="Arial"/>
          <w:color w:val="202020"/>
          <w:sz w:val="22"/>
          <w:szCs w:val="22"/>
          <w:rtl w:val="0"/>
        </w:rPr>
        <w:t xml:space="preserve"> que sufrían las mujeres.</w:t>
      </w:r>
    </w:p>
    <w:p w:rsidR="00000000" w:rsidDel="00000000" w:rsidP="00000000" w:rsidRDefault="00000000" w:rsidRPr="00000000" w14:paraId="00000016">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A pesar de ser las primeras</w:t>
      </w:r>
      <w:r w:rsidDel="00000000" w:rsidR="00000000" w:rsidRPr="00000000">
        <w:rPr>
          <w:rFonts w:ascii="Arial" w:cs="Arial" w:eastAsia="Arial" w:hAnsi="Arial"/>
          <w:color w:val="202020"/>
          <w:sz w:val="22"/>
          <w:szCs w:val="22"/>
          <w:rtl w:val="0"/>
        </w:rPr>
        <w:t xml:space="preserve"> sufragistas</w:t>
      </w:r>
      <w:r w:rsidDel="00000000" w:rsidR="00000000" w:rsidRPr="00000000">
        <w:rPr>
          <w:rFonts w:ascii="Arial" w:cs="Arial" w:eastAsia="Arial" w:hAnsi="Arial"/>
          <w:color w:val="202020"/>
          <w:sz w:val="22"/>
          <w:szCs w:val="22"/>
          <w:rtl w:val="0"/>
        </w:rPr>
        <w:t xml:space="preserve"> de la historia, ninguna vivió hasta 1920, el año en el que, por fin, las mujeres adquirieron el derecho más básico de la democracia: el voto. Fue en agosto de ese año cuando el Congreso estadounidense </w:t>
      </w:r>
      <w:r w:rsidDel="00000000" w:rsidR="00000000" w:rsidRPr="00000000">
        <w:rPr>
          <w:rFonts w:ascii="Arial" w:cs="Arial" w:eastAsia="Arial" w:hAnsi="Arial"/>
          <w:color w:val="202020"/>
          <w:sz w:val="22"/>
          <w:szCs w:val="22"/>
          <w:rtl w:val="0"/>
        </w:rPr>
        <w:t xml:space="preserve">ratificó</w:t>
      </w:r>
      <w:r w:rsidDel="00000000" w:rsidR="00000000" w:rsidRPr="00000000">
        <w:rPr>
          <w:rFonts w:ascii="Arial" w:cs="Arial" w:eastAsia="Arial" w:hAnsi="Arial"/>
          <w:color w:val="202020"/>
          <w:sz w:val="22"/>
          <w:szCs w:val="22"/>
          <w:rtl w:val="0"/>
        </w:rPr>
        <w:t xml:space="preserve"> la </w:t>
      </w:r>
      <w:r w:rsidDel="00000000" w:rsidR="00000000" w:rsidRPr="00000000">
        <w:rPr>
          <w:rFonts w:ascii="Arial" w:cs="Arial" w:eastAsia="Arial" w:hAnsi="Arial"/>
          <w:color w:val="202020"/>
          <w:sz w:val="22"/>
          <w:szCs w:val="22"/>
          <w:rtl w:val="0"/>
        </w:rPr>
        <w:t xml:space="preserve">Enmienda</w:t>
      </w:r>
      <w:r w:rsidDel="00000000" w:rsidR="00000000" w:rsidRPr="00000000">
        <w:rPr>
          <w:rFonts w:ascii="Arial" w:cs="Arial" w:eastAsia="Arial" w:hAnsi="Arial"/>
          <w:color w:val="202020"/>
          <w:sz w:val="22"/>
          <w:szCs w:val="22"/>
          <w:rtl w:val="0"/>
        </w:rPr>
        <w:t xml:space="preserve"> 19 de la Constitución que garantiza el sufragio de todos los ciudadanos en todos los estados del país, independientemente de su sexo. El primero en hacerlo había sido Nueva Jersey en 1776. Aunque lo hizo por error: aprobó el derecho a voto de todos los ciudadanos, sin señalar que se refería exclusivamente al género masculino. Fue una </w:t>
      </w:r>
      <w:r w:rsidDel="00000000" w:rsidR="00000000" w:rsidRPr="00000000">
        <w:rPr>
          <w:rFonts w:ascii="Arial" w:cs="Arial" w:eastAsia="Arial" w:hAnsi="Arial"/>
          <w:color w:val="202020"/>
          <w:sz w:val="22"/>
          <w:szCs w:val="22"/>
          <w:rtl w:val="0"/>
        </w:rPr>
        <w:t xml:space="preserve">victoria pírrica</w:t>
      </w:r>
      <w:r w:rsidDel="00000000" w:rsidR="00000000" w:rsidRPr="00000000">
        <w:rPr>
          <w:rFonts w:ascii="Arial" w:cs="Arial" w:eastAsia="Arial" w:hAnsi="Arial"/>
          <w:color w:val="202020"/>
          <w:sz w:val="22"/>
          <w:szCs w:val="22"/>
          <w:rtl w:val="0"/>
        </w:rPr>
        <w:t xml:space="preserve"> porque en 1807 </w:t>
      </w:r>
      <w:r w:rsidDel="00000000" w:rsidR="00000000" w:rsidRPr="00000000">
        <w:rPr>
          <w:rFonts w:ascii="Arial" w:cs="Arial" w:eastAsia="Arial" w:hAnsi="Arial"/>
          <w:color w:val="202020"/>
          <w:sz w:val="22"/>
          <w:szCs w:val="22"/>
          <w:rtl w:val="0"/>
        </w:rPr>
        <w:t xml:space="preserve">revocó</w:t>
      </w:r>
      <w:r w:rsidDel="00000000" w:rsidR="00000000" w:rsidRPr="00000000">
        <w:rPr>
          <w:rFonts w:ascii="Arial" w:cs="Arial" w:eastAsia="Arial" w:hAnsi="Arial"/>
          <w:color w:val="202020"/>
          <w:sz w:val="22"/>
          <w:szCs w:val="22"/>
          <w:rtl w:val="0"/>
        </w:rPr>
        <w:t xml:space="preserve"> ese artículo.</w:t>
      </w:r>
    </w:p>
    <w:p w:rsidR="00000000" w:rsidDel="00000000" w:rsidP="00000000" w:rsidRDefault="00000000" w:rsidRPr="00000000" w14:paraId="00000017">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No obstante, Estados Unidos no fue el primer país del mundo en autorizarlo. Nueva Zelanda lo aprobó en 1893. Australia lo hizo en 1902. Finlandia en 1906. Liechtenstein fue el último país europeo en reconocer el voto femenino. Lo hizo en 1984. En 2015, Arabia Saudita celebró las primeras elecciones en las que las mujeres podían votar y presentarse como candidatas.</w:t>
      </w:r>
    </w:p>
    <w:p w:rsidR="00000000" w:rsidDel="00000000" w:rsidP="00000000" w:rsidRDefault="00000000" w:rsidRPr="00000000" w14:paraId="00000018">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A día de hoy, el voto femenino está permitido en todos los países, con la excepción del Vaticano. Además, en otros estados, como </w:t>
      </w:r>
      <w:r w:rsidDel="00000000" w:rsidR="00000000" w:rsidRPr="00000000">
        <w:rPr>
          <w:rFonts w:ascii="Arial" w:cs="Arial" w:eastAsia="Arial" w:hAnsi="Arial"/>
          <w:color w:val="202020"/>
          <w:sz w:val="22"/>
          <w:szCs w:val="22"/>
          <w:rtl w:val="0"/>
        </w:rPr>
        <w:t xml:space="preserve">Brunei o los Emiratos Árabes Unidos</w:t>
      </w:r>
      <w:r w:rsidDel="00000000" w:rsidR="00000000" w:rsidRPr="00000000">
        <w:rPr>
          <w:rFonts w:ascii="Arial" w:cs="Arial" w:eastAsia="Arial" w:hAnsi="Arial"/>
          <w:color w:val="202020"/>
          <w:sz w:val="22"/>
          <w:szCs w:val="22"/>
          <w:rtl w:val="0"/>
        </w:rPr>
        <w:t xml:space="preserve">, las mujeres tienen restricciones para acceder a la urnas, a pesar de que en 1948 (cien años después de la Declaración de Seneca Falls) la ONU reconoció el sufragio femenino como un derecho fundamental.</w:t>
      </w:r>
    </w:p>
    <w:p w:rsidR="00000000" w:rsidDel="00000000" w:rsidP="00000000" w:rsidRDefault="00000000" w:rsidRPr="00000000" w14:paraId="00000019">
      <w:pPr>
        <w:shd w:fill="ffffff" w:val="clear"/>
        <w:spacing w:after="240" w:before="240" w:line="276" w:lineRule="auto"/>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EL VOTO FEMENINO EN ESPAÑA</w:t>
      </w:r>
    </w:p>
    <w:p w:rsidR="00000000" w:rsidDel="00000000" w:rsidP="00000000" w:rsidRDefault="00000000" w:rsidRPr="00000000" w14:paraId="0000001A">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El 1 de octubre de 1931, el Congreso aprobó el voto femenino por 161 votos a favor y 121 en contra. Curiosamente, durante dicha votación estuvieron presentes tres diputadas: Clara Campoamor, Victoria Kent y Margarita Nelken, a pesar de que ese colectivo carecía del derecho a elegir a sus representantes.</w:t>
      </w:r>
    </w:p>
    <w:p w:rsidR="00000000" w:rsidDel="00000000" w:rsidP="00000000" w:rsidRDefault="00000000" w:rsidRPr="00000000" w14:paraId="0000001B">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Campoamor tuvo que enfrentarse a sus compañeras, quienes creían que todavía no era el momento oportuno para otorgar el voto a las mujeres, porque, según pensaban, estaban muy condicionadas por la opinión de la Iglesia. Dos años después, el 19 de noviembre de 1933, las mujeres votaron por primera vez en unos </w:t>
      </w:r>
      <w:r w:rsidDel="00000000" w:rsidR="00000000" w:rsidRPr="00000000">
        <w:rPr>
          <w:rFonts w:ascii="Arial" w:cs="Arial" w:eastAsia="Arial" w:hAnsi="Arial"/>
          <w:color w:val="202020"/>
          <w:sz w:val="22"/>
          <w:szCs w:val="22"/>
          <w:rtl w:val="0"/>
        </w:rPr>
        <w:t xml:space="preserve">comicios</w:t>
      </w:r>
      <w:r w:rsidDel="00000000" w:rsidR="00000000" w:rsidRPr="00000000">
        <w:rPr>
          <w:rFonts w:ascii="Arial" w:cs="Arial" w:eastAsia="Arial" w:hAnsi="Arial"/>
          <w:color w:val="202020"/>
          <w:sz w:val="22"/>
          <w:szCs w:val="22"/>
          <w:rtl w:val="0"/>
        </w:rPr>
        <w:t xml:space="preserve">. Clara Campoamor, la impulsora del voto femenino, perdió su escaño.</w:t>
      </w:r>
    </w:p>
    <w:p w:rsidR="00000000" w:rsidDel="00000000" w:rsidP="00000000" w:rsidRDefault="00000000" w:rsidRPr="00000000" w14:paraId="0000001C">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Poco duró esa igualdad. Con la llegada de la Dictadura, la mujer perdió el derecho de decidir libremente. Ellas no podían ni siquiera viajar, ni abrir una cuenta bancaria sin el permiso de un varón. El derecho lo recuperaron en 1977, tras la muerte de Franco.</w:t>
      </w:r>
    </w:p>
    <w:p w:rsidR="00000000" w:rsidDel="00000000" w:rsidP="00000000" w:rsidRDefault="00000000" w:rsidRPr="00000000" w14:paraId="0000001D">
      <w:pPr>
        <w:shd w:fill="ffffff" w:val="clear"/>
        <w:spacing w:after="240" w:before="240" w:line="276" w:lineRule="auto"/>
        <w:jc w:val="both"/>
        <w:rPr>
          <w:rFonts w:ascii="Arial" w:cs="Arial" w:eastAsia="Arial" w:hAnsi="Arial"/>
          <w:color w:val="202020"/>
          <w:sz w:val="22"/>
          <w:szCs w:val="22"/>
        </w:rPr>
      </w:pPr>
      <w:r w:rsidDel="00000000" w:rsidR="00000000" w:rsidRPr="00000000">
        <w:rPr>
          <w:rFonts w:ascii="Arial" w:cs="Arial" w:eastAsia="Arial" w:hAnsi="Arial"/>
          <w:color w:val="202020"/>
          <w:sz w:val="22"/>
          <w:szCs w:val="22"/>
          <w:rtl w:val="0"/>
        </w:rPr>
        <w:t xml:space="preserve">Hasta hace poco, </w:t>
      </w:r>
      <w:r w:rsidDel="00000000" w:rsidR="00000000" w:rsidRPr="00000000">
        <w:rPr>
          <w:rFonts w:ascii="Arial" w:cs="Arial" w:eastAsia="Arial" w:hAnsi="Arial"/>
          <w:color w:val="202020"/>
          <w:sz w:val="22"/>
          <w:szCs w:val="22"/>
          <w:rtl w:val="0"/>
        </w:rPr>
        <w:t xml:space="preserve">España tenía el parlamento más igualitario</w:t>
      </w:r>
      <w:r w:rsidDel="00000000" w:rsidR="00000000" w:rsidRPr="00000000">
        <w:rPr>
          <w:rFonts w:ascii="Arial" w:cs="Arial" w:eastAsia="Arial" w:hAnsi="Arial"/>
          <w:color w:val="202020"/>
          <w:sz w:val="22"/>
          <w:szCs w:val="22"/>
          <w:rtl w:val="0"/>
        </w:rPr>
        <w:t xml:space="preserve">. De las urnas de abril salieron un 47,4% de mujeres, lo que situó a España a la cabeza de la Unión Europea (superando incluso a Suecia, que tenía un 46,1%) en paridad parlamentaria. De los 350 miembros del Congreso, 166 eran diputadas, frente a 184 hombres. En la actualidad, la Cámara Baja cuenta con 151 diputadas (43,4%) y 199 diputados (56,9%). Eso sí, suponiendo que no se produzca ningún cambio en el hemiciclo.</w:t>
      </w:r>
    </w:p>
    <w:p w:rsidR="00000000" w:rsidDel="00000000" w:rsidP="00000000" w:rsidRDefault="00000000" w:rsidRPr="00000000" w14:paraId="0000001E">
      <w:pPr>
        <w:spacing w:after="240" w:before="240" w:lineRule="auto"/>
        <w:jc w:val="right"/>
        <w:rPr>
          <w:rFonts w:ascii="Arial" w:cs="Arial" w:eastAsia="Arial" w:hAnsi="Arial"/>
          <w:color w:val="1155cc"/>
          <w:sz w:val="16"/>
          <w:szCs w:val="16"/>
          <w:u w:val="single"/>
        </w:rPr>
      </w:pPr>
      <w:r w:rsidDel="00000000" w:rsidR="00000000" w:rsidRPr="00000000">
        <w:rPr>
          <w:rFonts w:ascii="Arial" w:cs="Arial" w:eastAsia="Arial" w:hAnsi="Arial"/>
          <w:color w:val="202020"/>
          <w:sz w:val="22"/>
          <w:szCs w:val="22"/>
          <w:rtl w:val="0"/>
        </w:rPr>
        <w:t xml:space="preserve">Adaptado de </w:t>
      </w:r>
      <w:hyperlink r:id="rId9">
        <w:r w:rsidDel="00000000" w:rsidR="00000000" w:rsidRPr="00000000">
          <w:rPr>
            <w:rFonts w:ascii="Arial" w:cs="Arial" w:eastAsia="Arial" w:hAnsi="Arial"/>
            <w:color w:val="1155cc"/>
            <w:sz w:val="16"/>
            <w:szCs w:val="16"/>
            <w:u w:val="single"/>
            <w:rtl w:val="0"/>
          </w:rPr>
          <w:t xml:space="preserve">https://www.elmundo.es/yodona/lifestyle/2020/01/07/5e146c0dfdddffc12a8b4619.html</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22">
      <w:pPr>
        <w:spacing w:after="240" w:lineRule="auto"/>
        <w:ind w:left="-220" w:right="-220" w:firstLine="0"/>
        <w:jc w:val="both"/>
        <w:rPr>
          <w:rFonts w:ascii="Arial Narrow" w:cs="Arial Narrow" w:eastAsia="Arial Narrow" w:hAnsi="Arial Narrow"/>
          <w:color w:val="333333"/>
          <w:sz w:val="22"/>
          <w:szCs w:val="22"/>
          <w:highlight w:val="white"/>
        </w:rPr>
      </w:pPr>
      <w:r w:rsidDel="00000000" w:rsidR="00000000" w:rsidRPr="00000000">
        <w:rPr>
          <w:rFonts w:ascii="Arial Narrow" w:cs="Arial Narrow" w:eastAsia="Arial Narrow" w:hAnsi="Arial Narrow"/>
          <w:color w:val="333333"/>
          <w:sz w:val="22"/>
          <w:szCs w:val="22"/>
          <w:highlight w:val="white"/>
        </w:rPr>
        <mc:AlternateContent>
          <mc:Choice Requires="wpg">
            <w:drawing>
              <wp:inline distB="114300" distT="114300" distL="114300" distR="114300">
                <wp:extent cx="758190" cy="219075"/>
                <wp:effectExtent b="0" l="0" r="0" t="0"/>
                <wp:docPr id="5" name=""/>
                <a:graphic>
                  <a:graphicData uri="http://schemas.microsoft.com/office/word/2010/wordprocessingShape">
                    <wps:wsp>
                      <wps:cNvSpPr/>
                      <wps:cNvPr id="9" name="Shape 9"/>
                      <wps:spPr>
                        <a:xfrm>
                          <a:off x="1331375" y="1676175"/>
                          <a:ext cx="967500" cy="344700"/>
                        </a:xfrm>
                        <a:prstGeom prst="rightArrow">
                          <a:avLst>
                            <a:gd fmla="val 50000" name="adj1"/>
                            <a:gd fmla="val 50000" name="adj2"/>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58190" cy="219075"/>
                <wp:effectExtent b="0" l="0" r="0" t="0"/>
                <wp:docPr id="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58190" cy="219075"/>
                        </a:xfrm>
                        <a:prstGeom prst="rect"/>
                        <a:ln/>
                      </pic:spPr>
                    </pic:pic>
                  </a:graphicData>
                </a:graphic>
              </wp:inline>
            </w:drawing>
          </mc:Fallback>
        </mc:AlternateContent>
      </w:r>
      <w:r w:rsidDel="00000000" w:rsidR="00000000" w:rsidRPr="00000000">
        <w:rPr>
          <w:rFonts w:ascii="Arial Narrow" w:cs="Arial Narrow" w:eastAsia="Arial Narrow" w:hAnsi="Arial Narrow"/>
          <w:color w:val="333333"/>
          <w:sz w:val="22"/>
          <w:szCs w:val="22"/>
          <w:highlight w:val="white"/>
          <w:rtl w:val="0"/>
        </w:rPr>
        <w:t xml:space="preserve">Es probable que en este listado que proponemos a continuación aparezca la definición de alguna de las palabras que has subrayado.  Localiza en el texto el término al que se refieren las definiciones y apúntalo a continuación.</w:t>
      </w:r>
    </w:p>
    <w:tbl>
      <w:tblPr>
        <w:tblStyle w:val="Table1"/>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20"/>
        <w:gridCol w:w="1920"/>
        <w:tblGridChange w:id="0">
          <w:tblGrid>
            <w:gridCol w:w="7320"/>
            <w:gridCol w:w="1920"/>
          </w:tblGrid>
        </w:tblGridChange>
      </w:tblGrid>
      <w:tr>
        <w:tc>
          <w:tcPr>
            <w:shd w:fill="f6b26b" w:val="clear"/>
            <w:tcMar>
              <w:top w:w="100.0" w:type="dxa"/>
              <w:left w:w="100.0" w:type="dxa"/>
              <w:bottom w:w="100.0" w:type="dxa"/>
              <w:right w:w="100.0" w:type="dxa"/>
            </w:tcMar>
            <w:vAlign w:val="top"/>
          </w:tcPr>
          <w:p w:rsidR="00000000" w:rsidDel="00000000" w:rsidP="00000000" w:rsidRDefault="00000000" w:rsidRPr="00000000" w14:paraId="00000023">
            <w:pPr>
              <w:spacing w:after="60" w:before="60" w:lineRule="auto"/>
              <w:ind w:left="141.7322834645671" w:right="123.77952755905596" w:hanging="0"/>
              <w:jc w:val="center"/>
              <w:rPr>
                <w:rFonts w:ascii="Arial Narrow" w:cs="Arial Narrow" w:eastAsia="Arial Narrow" w:hAnsi="Arial Narrow"/>
                <w:color w:val="333333"/>
                <w:sz w:val="22"/>
                <w:szCs w:val="22"/>
              </w:rPr>
            </w:pPr>
            <w:r w:rsidDel="00000000" w:rsidR="00000000" w:rsidRPr="00000000">
              <w:rPr>
                <w:rFonts w:ascii="Arial Narrow" w:cs="Arial Narrow" w:eastAsia="Arial Narrow" w:hAnsi="Arial Narrow"/>
                <w:color w:val="333333"/>
                <w:sz w:val="22"/>
                <w:szCs w:val="22"/>
                <w:rtl w:val="0"/>
              </w:rPr>
              <w:t xml:space="preserve">DEFINICIONES</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color w:val="333333"/>
                <w:sz w:val="22"/>
                <w:szCs w:val="22"/>
              </w:rPr>
            </w:pPr>
            <w:r w:rsidDel="00000000" w:rsidR="00000000" w:rsidRPr="00000000">
              <w:rPr>
                <w:rFonts w:ascii="Arial Narrow" w:cs="Arial Narrow" w:eastAsia="Arial Narrow" w:hAnsi="Arial Narrow"/>
                <w:color w:val="333333"/>
                <w:sz w:val="22"/>
                <w:szCs w:val="22"/>
                <w:rtl w:val="0"/>
              </w:rPr>
              <w:t xml:space="preserve">TÉRMINOS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Reunión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general</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un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partido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político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una</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agrupación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de otro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carácter</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para</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fijar</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programas</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elegir</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candidatos</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resolver otros</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asuntos</w:t>
            </w:r>
            <w:r w:rsidDel="00000000" w:rsidR="00000000" w:rsidRPr="00000000">
              <w:rPr>
                <w:rFonts w:ascii="Arial Narrow" w:cs="Arial Narrow" w:eastAsia="Arial Narrow" w:hAnsi="Arial Narrow"/>
                <w:color w:val="333333"/>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Propuesta</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variante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adición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reemplazo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un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proyecto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dictamen</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informe</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documento</w:t>
            </w:r>
            <w:r w:rsidDel="00000000" w:rsidR="00000000" w:rsidRPr="00000000">
              <w:rPr>
                <w:rFonts w:ascii="Arial Narrow" w:cs="Arial Narrow" w:eastAsia="Arial Narrow" w:hAnsi="Arial Narrow"/>
                <w:color w:val="333333"/>
                <w:highlight w:val="white"/>
                <w:rtl w:val="0"/>
              </w:rPr>
              <w:t xml:space="preserve"> </w:t>
            </w:r>
            <w:r w:rsidDel="00000000" w:rsidR="00000000" w:rsidRPr="00000000">
              <w:rPr>
                <w:rFonts w:ascii="Arial Narrow" w:cs="Arial Narrow" w:eastAsia="Arial Narrow" w:hAnsi="Arial Narrow"/>
                <w:color w:val="333333"/>
                <w:rtl w:val="0"/>
              </w:rPr>
              <w:t xml:space="preserve">análogo</w:t>
            </w:r>
            <w:r w:rsidDel="00000000" w:rsidR="00000000" w:rsidRPr="00000000">
              <w:rPr>
                <w:rFonts w:ascii="Arial Narrow" w:cs="Arial Narrow" w:eastAsia="Arial Narrow" w:hAnsi="Arial Narrow"/>
                <w:color w:val="333333"/>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highlight w:val="white"/>
                <w:rtl w:val="0"/>
              </w:rPr>
              <w:t xml:space="preserve">Asiento de los parlamentarios en las cámaras. Metafóricamente, puesto representativo en una cámara electiva.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Rule="auto"/>
              <w:ind w:left="141.7322834645671" w:right="123.77952755905596" w:hanging="0"/>
              <w:jc w:val="both"/>
              <w:rPr>
                <w:rFonts w:ascii="Arial Narrow" w:cs="Arial Narrow" w:eastAsia="Arial Narrow" w:hAnsi="Arial Narrow"/>
                <w:color w:val="333333"/>
                <w:highlight w:val="white"/>
              </w:rPr>
            </w:pPr>
            <w:hyperlink r:id="rId11">
              <w:r w:rsidDel="00000000" w:rsidR="00000000" w:rsidRPr="00000000">
                <w:rPr>
                  <w:rFonts w:ascii="Arial Narrow" w:cs="Arial Narrow" w:eastAsia="Arial Narrow" w:hAnsi="Arial Narrow"/>
                  <w:color w:val="333333"/>
                  <w:highlight w:val="white"/>
                  <w:rtl w:val="0"/>
                </w:rPr>
                <w:t xml:space="preserve">Igualdad de las cosas entre sí.</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highlight w:val="white"/>
                <w:rtl w:val="0"/>
              </w:rPr>
              <w:t xml:space="preserve">Acción y efecto de </w:t>
            </w:r>
            <w:hyperlink r:id="rId12">
              <w:r w:rsidDel="00000000" w:rsidR="00000000" w:rsidRPr="00000000">
                <w:rPr>
                  <w:rFonts w:ascii="Arial Narrow" w:cs="Arial Narrow" w:eastAsia="Arial Narrow" w:hAnsi="Arial Narrow"/>
                  <w:highlight w:val="white"/>
                  <w:rtl w:val="0"/>
                </w:rPr>
                <w:t xml:space="preserve">rest</w:t>
              </w:r>
            </w:hyperlink>
            <w:r w:rsidDel="00000000" w:rsidR="00000000" w:rsidRPr="00000000">
              <w:rPr>
                <w:rFonts w:ascii="Arial Narrow" w:cs="Arial Narrow" w:eastAsia="Arial Narrow" w:hAnsi="Arial Narrow"/>
                <w:highlight w:val="white"/>
                <w:rtl w:val="0"/>
              </w:rPr>
              <w:t xml:space="preserve">r</w:t>
            </w:r>
            <w:hyperlink r:id="rId13">
              <w:r w:rsidDel="00000000" w:rsidR="00000000" w:rsidRPr="00000000">
                <w:rPr>
                  <w:rFonts w:ascii="Arial Narrow" w:cs="Arial Narrow" w:eastAsia="Arial Narrow" w:hAnsi="Arial Narrow"/>
                  <w:highlight w:val="white"/>
                  <w:rtl w:val="0"/>
                </w:rPr>
                <w:t xml:space="preserve">ingir</w:t>
              </w:r>
            </w:hyperlink>
            <w:r w:rsidDel="00000000" w:rsidR="00000000" w:rsidRPr="00000000">
              <w:rPr>
                <w:rFonts w:ascii="Arial Narrow" w:cs="Arial Narrow" w:eastAsia="Arial Narrow" w:hAnsi="Arial Narrow"/>
                <w:color w:val="333333"/>
                <w:highlight w:val="white"/>
                <w:rtl w:val="0"/>
              </w:rPr>
              <w:t xml:space="preserve">, es decir, de ceñir, circunscribir, reducir a menores límites.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highlight w:val="white"/>
                <w:rtl w:val="0"/>
              </w:rPr>
              <w:t xml:space="preserve">Sala semicircular con gradas, especialmente la de una cámaralegislativa.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highlight w:val="white"/>
                <w:rtl w:val="0"/>
              </w:rPr>
              <w:t xml:space="preserve">Perteneciente o relativo al sufragismo. Partidario de la concesión del sufragio femenino.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before="0" w:lineRule="auto"/>
              <w:ind w:left="141.7322834645671" w:right="123.77952755905596" w:hanging="0"/>
              <w:jc w:val="both"/>
              <w:rPr>
                <w:rFonts w:ascii="Arial Narrow" w:cs="Arial Narrow" w:eastAsia="Arial Narrow" w:hAnsi="Arial Narrow"/>
                <w:color w:val="333333"/>
                <w:highlight w:val="white"/>
              </w:rPr>
            </w:pPr>
            <w:r w:rsidDel="00000000" w:rsidR="00000000" w:rsidRPr="00000000">
              <w:rPr>
                <w:rFonts w:ascii="Arial Narrow" w:cs="Arial Narrow" w:eastAsia="Arial Narrow" w:hAnsi="Arial Narrow"/>
                <w:color w:val="333333"/>
                <w:highlight w:val="white"/>
                <w:rtl w:val="0"/>
              </w:rPr>
              <w:t xml:space="preserve">Aprobar o confirmar actos, palabras o escritos dándolos porvalederos y ciertos.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Rule="auto"/>
              <w:ind w:left="141.7322834645671" w:right="123.77952755905596" w:hanging="0"/>
              <w:jc w:val="both"/>
              <w:rPr>
                <w:rFonts w:ascii="Arial Narrow" w:cs="Arial Narrow" w:eastAsia="Arial Narrow" w:hAnsi="Arial Narrow"/>
                <w:color w:val="333333"/>
                <w:highlight w:val="white"/>
              </w:rPr>
            </w:pPr>
            <w:r w:rsidDel="00000000" w:rsidR="00000000" w:rsidRPr="00000000">
              <w:rPr>
                <w:rFonts w:ascii="Arial Narrow" w:cs="Arial Narrow" w:eastAsia="Arial Narrow" w:hAnsi="Arial Narrow"/>
                <w:color w:val="333333"/>
                <w:highlight w:val="white"/>
                <w:rtl w:val="0"/>
              </w:rPr>
              <w:t xml:space="preserve">Elecciones para designar cargos políticos.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Arial Narrow" w:cs="Arial Narrow" w:eastAsia="Arial Narrow" w:hAnsi="Arial Narrow"/>
                <w:color w:val="333333"/>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before="0" w:lineRule="auto"/>
              <w:ind w:left="141.7322834645671" w:right="123.77952755905596" w:hanging="0"/>
              <w:jc w:val="both"/>
              <w:rPr>
                <w:rFonts w:ascii="Arial Narrow" w:cs="Arial Narrow" w:eastAsia="Arial Narrow" w:hAnsi="Arial Narrow"/>
                <w:color w:val="333333"/>
              </w:rPr>
            </w:pPr>
            <w:r w:rsidDel="00000000" w:rsidR="00000000" w:rsidRPr="00000000">
              <w:rPr>
                <w:rFonts w:ascii="Arial Narrow" w:cs="Arial Narrow" w:eastAsia="Arial Narrow" w:hAnsi="Arial Narrow"/>
                <w:color w:val="333333"/>
                <w:highlight w:val="white"/>
                <w:rtl w:val="0"/>
              </w:rPr>
              <w:t xml:space="preserve">Dejar sin efecto una concesión, un mandato o una resolución.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color w:val="333333"/>
                <w:sz w:val="22"/>
                <w:szCs w:val="22"/>
              </w:rPr>
            </w:pPr>
            <w:r w:rsidDel="00000000" w:rsidR="00000000" w:rsidRPr="00000000">
              <w:rPr>
                <w:rtl w:val="0"/>
              </w:rPr>
            </w:r>
          </w:p>
        </w:tc>
      </w:tr>
    </w:tb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Narrow" w:cs="Arial Narrow" w:eastAsia="Arial Narrow" w:hAnsi="Arial Narrow"/>
          <w:color w:val="333333"/>
          <w:sz w:val="22"/>
          <w:szCs w:val="22"/>
        </w:rPr>
      </w:pPr>
      <w:r w:rsidDel="00000000" w:rsidR="00000000" w:rsidRPr="00000000">
        <w:rPr>
          <w:rtl w:val="0"/>
        </w:rPr>
      </w:r>
    </w:p>
    <w:p w:rsidR="00000000" w:rsidDel="00000000" w:rsidP="00000000" w:rsidRDefault="00000000" w:rsidRPr="00000000" w14:paraId="0000003A">
      <w:pPr>
        <w:spacing w:after="0" w:lineRule="auto"/>
        <w:ind w:left="-220" w:right="-220" w:firstLine="0"/>
        <w:jc w:val="both"/>
        <w:rPr>
          <w:rFonts w:ascii="Arial Narrow" w:cs="Arial Narrow" w:eastAsia="Arial Narrow" w:hAnsi="Arial Narrow"/>
          <w:color w:val="333333"/>
          <w:sz w:val="22"/>
          <w:szCs w:val="22"/>
          <w:highlight w:val="white"/>
        </w:rPr>
      </w:pPr>
      <w:r w:rsidDel="00000000" w:rsidR="00000000" w:rsidRPr="00000000">
        <w:rPr>
          <w:rFonts w:ascii="Arial Narrow" w:cs="Arial Narrow" w:eastAsia="Arial Narrow" w:hAnsi="Arial Narrow"/>
          <w:color w:val="333333"/>
          <w:sz w:val="22"/>
          <w:szCs w:val="22"/>
          <w:highlight w:val="white"/>
        </w:rPr>
        <mc:AlternateContent>
          <mc:Choice Requires="wpg">
            <w:drawing>
              <wp:inline distB="114300" distT="114300" distL="114300" distR="114300">
                <wp:extent cx="758190" cy="219075"/>
                <wp:effectExtent b="0" l="0" r="0" t="0"/>
                <wp:docPr id="2" name=""/>
                <a:graphic>
                  <a:graphicData uri="http://schemas.microsoft.com/office/word/2010/wordprocessingShape">
                    <wps:wsp>
                      <wps:cNvSpPr/>
                      <wps:cNvPr id="9" name="Shape 9"/>
                      <wps:spPr>
                        <a:xfrm>
                          <a:off x="1331375" y="1676175"/>
                          <a:ext cx="967500" cy="344700"/>
                        </a:xfrm>
                        <a:prstGeom prst="rightArrow">
                          <a:avLst>
                            <a:gd fmla="val 50000" name="adj1"/>
                            <a:gd fmla="val 50000" name="adj2"/>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758190" cy="219075"/>
                <wp:effectExtent b="0" l="0" r="0" t="0"/>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58190" cy="219075"/>
                        </a:xfrm>
                        <a:prstGeom prst="rect"/>
                        <a:ln/>
                      </pic:spPr>
                    </pic:pic>
                  </a:graphicData>
                </a:graphic>
              </wp:inline>
            </w:drawing>
          </mc:Fallback>
        </mc:AlternateContent>
      </w:r>
      <w:r w:rsidDel="00000000" w:rsidR="00000000" w:rsidRPr="00000000">
        <w:rPr>
          <w:rFonts w:ascii="Arial Narrow" w:cs="Arial Narrow" w:eastAsia="Arial Narrow" w:hAnsi="Arial Narrow"/>
          <w:color w:val="333333"/>
          <w:sz w:val="22"/>
          <w:szCs w:val="22"/>
          <w:highlight w:val="white"/>
          <w:rtl w:val="0"/>
        </w:rPr>
        <w:t xml:space="preserve">¿Sabrías definir el concepto “victoria pírrica” que aparece al final del tercer párrafo? Localiza en internet el origen de est expresión y apúntalo a continuación:</w:t>
      </w:r>
    </w:p>
    <w:p w:rsidR="00000000" w:rsidDel="00000000" w:rsidP="00000000" w:rsidRDefault="00000000" w:rsidRPr="00000000" w14:paraId="0000003B">
      <w:pPr>
        <w:spacing w:after="0" w:lineRule="auto"/>
        <w:ind w:left="-220" w:right="-220" w:firstLine="0"/>
        <w:jc w:val="both"/>
        <w:rPr>
          <w:rFonts w:ascii="Arial Narrow" w:cs="Arial Narrow" w:eastAsia="Arial Narrow" w:hAnsi="Arial Narrow"/>
          <w:color w:val="333333"/>
          <w:sz w:val="22"/>
          <w:szCs w:val="22"/>
          <w:highlight w:val="white"/>
        </w:rPr>
      </w:pPr>
      <w:r w:rsidDel="00000000" w:rsidR="00000000" w:rsidRPr="00000000">
        <w:rPr>
          <w:rtl w:val="0"/>
        </w:rPr>
      </w:r>
    </w:p>
    <w:p w:rsidR="00000000" w:rsidDel="00000000" w:rsidP="00000000" w:rsidRDefault="00000000" w:rsidRPr="00000000" w14:paraId="0000003C">
      <w:pPr>
        <w:spacing w:after="0" w:lineRule="auto"/>
        <w:ind w:left="-220" w:right="-220" w:firstLine="220"/>
        <w:jc w:val="both"/>
        <w:rPr>
          <w:rFonts w:ascii="Arial Narrow" w:cs="Arial Narrow" w:eastAsia="Arial Narrow" w:hAnsi="Arial Narrow"/>
          <w:color w:val="45818e"/>
          <w:sz w:val="22"/>
          <w:szCs w:val="22"/>
          <w:highlight w:val="white"/>
        </w:rPr>
      </w:pPr>
      <w:r w:rsidDel="00000000" w:rsidR="00000000" w:rsidRPr="00000000">
        <w:rPr>
          <w:rtl w:val="0"/>
        </w:rPr>
      </w:r>
    </w:p>
    <w:p w:rsidR="00000000" w:rsidDel="00000000" w:rsidP="00000000" w:rsidRDefault="00000000" w:rsidRPr="00000000" w14:paraId="0000003D">
      <w:pPr>
        <w:spacing w:after="240" w:lineRule="auto"/>
        <w:ind w:left="-220" w:right="-220" w:firstLine="0"/>
        <w:jc w:val="both"/>
        <w:rPr>
          <w:rFonts w:ascii="Arial" w:cs="Arial" w:eastAsia="Arial" w:hAnsi="Arial"/>
          <w:color w:val="333333"/>
          <w:sz w:val="22"/>
          <w:szCs w:val="22"/>
        </w:rPr>
      </w:pPr>
      <w:r w:rsidDel="00000000" w:rsidR="00000000" w:rsidRPr="00000000">
        <w:rPr>
          <w:rFonts w:ascii="Arial Narrow" w:cs="Arial Narrow" w:eastAsia="Arial Narrow" w:hAnsi="Arial Narrow"/>
          <w:color w:val="333333"/>
          <w:sz w:val="22"/>
          <w:szCs w:val="22"/>
          <w:highlight w:val="white"/>
        </w:rPr>
        <mc:AlternateContent>
          <mc:Choice Requires="wpg">
            <w:drawing>
              <wp:inline distB="114300" distT="114300" distL="114300" distR="114300">
                <wp:extent cx="5782628" cy="1533525"/>
                <wp:effectExtent b="0" l="0" r="0" t="0"/>
                <wp:docPr id="3" name=""/>
                <a:graphic>
                  <a:graphicData uri="http://schemas.microsoft.com/office/word/2010/wordprocessingShape">
                    <wps:wsp>
                      <wps:cNvSpPr/>
                      <wps:cNvPr id="10" name="Shape 10"/>
                      <wps:spPr>
                        <a:xfrm>
                          <a:off x="431025" y="699200"/>
                          <a:ext cx="5737200" cy="1513500"/>
                        </a:xfrm>
                        <a:prstGeom prst="rect">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82628" cy="1533525"/>
                <wp:effectExtent b="0" l="0" r="0" t="0"/>
                <wp:docPr id="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782628" cy="1533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-358449</wp:posOffset>
                </wp:positionH>
                <wp:positionV relativeFrom="paragraph">
                  <wp:posOffset>0</wp:posOffset>
                </wp:positionV>
                <wp:extent cx="5872480" cy="7158284"/>
                <wp:effectExtent b="0" l="0" r="0" t="0"/>
                <wp:wrapSquare wrapText="bothSides" distB="0" distT="0" distL="114300" distR="114300"/>
                <wp:docPr id="1" name=""/>
                <a:graphic>
                  <a:graphicData uri="http://schemas.microsoft.com/office/word/2010/wordprocessingGroup">
                    <wpg:wgp>
                      <wpg:cNvGrpSpPr/>
                      <wpg:grpSpPr>
                        <a:xfrm>
                          <a:off x="2441550" y="74250"/>
                          <a:ext cx="5872480" cy="7158284"/>
                          <a:chOff x="2441550" y="74250"/>
                          <a:chExt cx="5808900" cy="7083300"/>
                        </a:xfrm>
                      </wpg:grpSpPr>
                      <wps:wsp>
                        <wps:cNvSpPr/>
                        <wps:cNvPr id="2" name="Shape 2"/>
                        <wps:spPr>
                          <a:xfrm>
                            <a:off x="2441550" y="74250"/>
                            <a:ext cx="5808900" cy="7083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Apunta en el cuaderno los lugares y las fechas (en orden cronológico) que se mencionan, y organiza la información recogida en un pequeño esquema siguiendo el modelo propuesto: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qué </w:t>
                              </w:r>
                              <w:r w:rsidDel="00000000" w:rsidR="00000000" w:rsidRPr="00000000">
                                <w:rPr>
                                  <w:rFonts w:ascii="Calibri" w:cs="Calibri" w:eastAsia="Calibri" w:hAnsi="Calibri"/>
                                  <w:b w:val="0"/>
                                  <w:i w:val="0"/>
                                  <w:smallCaps w:val="0"/>
                                  <w:strike w:val="0"/>
                                  <w:color w:val="000000"/>
                                  <w:sz w:val="22"/>
                                  <w:vertAlign w:val="baseline"/>
                                </w:rPr>
                                <w:t xml:space="preserve">mujeres se les suele denominar “las primeras sufragistas de la historia”? ¿</w:t>
                              </w:r>
                              <w:r w:rsidDel="00000000" w:rsidR="00000000" w:rsidRPr="00000000">
                                <w:rPr>
                                  <w:rFonts w:ascii="Calibri" w:cs="Calibri" w:eastAsia="Calibri" w:hAnsi="Calibri"/>
                                  <w:b w:val="0"/>
                                  <w:i w:val="0"/>
                                  <w:smallCaps w:val="0"/>
                                  <w:strike w:val="0"/>
                                  <w:color w:val="000000"/>
                                  <w:sz w:val="22"/>
                                  <w:vertAlign w:val="baseline"/>
                                </w:rPr>
                                <w:t xml:space="preserve">Dónde se produjo la primera reunión en la que se pusieron las bases para comenzar este movimiento?</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¿Cuál es el nombre que recibe el documento que surgió tras esa reunión? ¿A qué se debe ese nombre?</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¿Cuándo consiguieron definitivamente el voto las mujeres estadounidenses? ¿Fueron ellas las primeras en lograrlo?</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¿Hay algún país que todavía no haya aceptado este derecho? ¿Cuál crees que podría ser el motivo?</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qué punto de la Constitución estadounidense se recoge este derecho?</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Investiga sobre este mismo asunto en relación a la Constitución española: comprueba en qué artículo se recoge el derecho a voto y cómo se menciona en el documento </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202020"/>
                                  <w:sz w:val="22"/>
                                  <w:vertAlign w:val="baseline"/>
                                </w:rPr>
                                <w:t xml:space="preserve">Explica con tus palabras lo que quiere decir esta frase extraída del texto:</w:t>
                              </w:r>
                            </w:p>
                            <w:p w:rsidR="00000000" w:rsidDel="00000000" w:rsidP="00000000" w:rsidRDefault="00000000" w:rsidRPr="00000000">
                              <w:pPr>
                                <w:spacing w:after="120" w:before="0" w:line="240"/>
                                <w:ind w:left="1440" w:right="0" w:firstLine="1440"/>
                                <w:jc w:val="both"/>
                                <w:textDirection w:val="btLr"/>
                              </w:pPr>
                              <w:r w:rsidDel="00000000" w:rsidR="00000000" w:rsidRPr="00000000">
                                <w:rPr>
                                  <w:rFonts w:ascii="Arial" w:cs="Arial" w:eastAsia="Arial" w:hAnsi="Arial"/>
                                  <w:b w:val="0"/>
                                  <w:i w:val="0"/>
                                  <w:smallCaps w:val="0"/>
                                  <w:strike w:val="0"/>
                                  <w:color w:val="202020"/>
                                  <w:sz w:val="22"/>
                                  <w:vertAlign w:val="baseline"/>
                                </w:rPr>
                              </w:r>
                              <w:r w:rsidDel="00000000" w:rsidR="00000000" w:rsidRPr="00000000">
                                <w:rPr>
                                  <w:rFonts w:ascii="Arial" w:cs="Arial" w:eastAsia="Arial" w:hAnsi="Arial"/>
                                  <w:b w:val="0"/>
                                  <w:i w:val="0"/>
                                  <w:smallCaps w:val="0"/>
                                  <w:strike w:val="0"/>
                                  <w:color w:val="202020"/>
                                  <w:sz w:val="16"/>
                                  <w:vertAlign w:val="baseline"/>
                                </w:rPr>
                                <w:t xml:space="preserve">“Curiosamente, durante dicha votación estuvieron presentes tres diputadas: Clara Campoamor, Victoria Kent y Margarita Nelken, a pesar de que ese colectivo carecía del derecho a elegir a sus representantes”.</w:t>
                              </w:r>
                            </w:p>
                            <w:p w:rsidR="00000000" w:rsidDel="00000000" w:rsidP="00000000" w:rsidRDefault="00000000" w:rsidRPr="00000000">
                              <w:pPr>
                                <w:spacing w:after="120" w:before="0" w:line="240"/>
                                <w:ind w:left="720" w:right="0" w:firstLine="360"/>
                                <w:jc w:val="both"/>
                                <w:textDirection w:val="btLr"/>
                              </w:pPr>
                              <w:r w:rsidDel="00000000" w:rsidR="00000000" w:rsidRPr="00000000">
                                <w:rPr>
                                  <w:rFonts w:ascii="Arial" w:cs="Arial" w:eastAsia="Arial" w:hAnsi="Arial"/>
                                  <w:b w:val="0"/>
                                  <w:i w:val="0"/>
                                  <w:smallCaps w:val="0"/>
                                  <w:strike w:val="0"/>
                                  <w:color w:val="202020"/>
                                  <w:sz w:val="16"/>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De entre los tres nombres de españolas que se mencionan en el artículo, el de Clara Campoamor es el más conocido. Localiza su biografía en internet y resume en un máximo de 10 líneas los aspectos más importantes de su vida. Añade también en tu escrito información sobre a qué se dedica hoy en día  la asociación que lleva su nombre.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wpg:grpSp>
                        <wpg:cNvGrpSpPr/>
                        <wpg:grpSpPr>
                          <a:xfrm>
                            <a:off x="3357150" y="1346776"/>
                            <a:ext cx="1436700" cy="1231324"/>
                            <a:chOff x="2432875" y="848581"/>
                            <a:chExt cx="1436700" cy="1402419"/>
                          </a:xfrm>
                        </wpg:grpSpPr>
                        <wps:wsp>
                          <wps:cNvSpPr/>
                          <wps:cNvPr id="4" name="Shape 4"/>
                          <wps:spPr>
                            <a:xfrm>
                              <a:off x="2461675" y="1398400"/>
                              <a:ext cx="1379100" cy="8526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1848:....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91425" lIns="91425" spcFirstLastPara="1" rIns="91425" wrap="square" tIns="91425">
                            <a:noAutofit/>
                          </wps:bodyPr>
                        </wps:wsp>
                        <wps:wsp>
                          <wps:cNvSpPr/>
                          <wps:cNvPr id="5" name="Shape 5"/>
                          <wps:spPr>
                            <a:xfrm>
                              <a:off x="2432875" y="848581"/>
                              <a:ext cx="1436700" cy="651300"/>
                            </a:xfrm>
                            <a:prstGeom prst="downArrowCallout">
                              <a:avLst>
                                <a:gd fmla="val 25000" name="adj1"/>
                                <a:gd fmla="val 25000" name="adj2"/>
                                <a:gd fmla="val 25000" name="adj3"/>
                                <a:gd fmla="val 64977" name="adj4"/>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EEUU</w:t>
                                </w:r>
                              </w:p>
                            </w:txbxContent>
                          </wps:txbx>
                          <wps:bodyPr anchorCtr="0" anchor="ctr" bIns="91425" lIns="91425" spcFirstLastPara="1" rIns="91425" wrap="square" tIns="91425">
                            <a:noAutofit/>
                          </wps:bodyPr>
                        </wps:wsp>
                      </wpg:grpSp>
                      <wpg:grpSp>
                        <wpg:cNvGrpSpPr/>
                        <wpg:grpSpPr>
                          <a:xfrm>
                            <a:off x="5172750" y="1351313"/>
                            <a:ext cx="1436700" cy="1222227"/>
                            <a:chOff x="2432875" y="839489"/>
                            <a:chExt cx="1436700" cy="1411511"/>
                          </a:xfrm>
                        </wpg:grpSpPr>
                        <wps:wsp>
                          <wps:cNvSpPr/>
                          <wps:cNvPr id="7" name="Shape 7"/>
                          <wps:spPr>
                            <a:xfrm>
                              <a:off x="2432875" y="1398400"/>
                              <a:ext cx="1379100" cy="852600"/>
                            </a:xfrm>
                            <a:prstGeom prst="roundRect">
                              <a:avLst>
                                <a:gd fmla="val 16667" name="adj"/>
                              </a:avLst>
                            </a:prstGeom>
                            <a:solidFill>
                              <a:srgbClr val="D5A6B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432875" y="839489"/>
                              <a:ext cx="1436700" cy="651300"/>
                            </a:xfrm>
                            <a:prstGeom prst="downArrowCallout">
                              <a:avLst>
                                <a:gd fmla="val 25000" name="adj1"/>
                                <a:gd fmla="val 25000" name="adj2"/>
                                <a:gd fmla="val 25000" name="adj3"/>
                                <a:gd fmla="val 64977" name="adj4"/>
                              </a:avLst>
                            </a:prstGeom>
                            <a:solidFill>
                              <a:srgbClr val="D5A6B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-358449</wp:posOffset>
                </wp:positionH>
                <wp:positionV relativeFrom="paragraph">
                  <wp:posOffset>0</wp:posOffset>
                </wp:positionV>
                <wp:extent cx="5872480" cy="7158284"/>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872480" cy="7158284"/>
                        </a:xfrm>
                        <a:prstGeom prst="rect"/>
                        <a:ln/>
                      </pic:spPr>
                    </pic:pic>
                  </a:graphicData>
                </a:graphic>
              </wp:anchor>
            </w:drawing>
          </mc:Fallback>
        </mc:AlternateContent>
      </w:r>
    </w:p>
    <w:sectPr>
      <w:headerReference r:id="rId17" w:type="default"/>
      <w:footerReference r:id="rId18" w:type="default"/>
      <w:pgSz w:h="16838" w:w="11906" w:orient="portrait"/>
      <w:pgMar w:bottom="1417" w:top="1417" w:left="1701" w:right="1701" w:header="1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338138</wp:posOffset>
          </wp:positionV>
          <wp:extent cx="593336" cy="442913"/>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3336" cy="442913"/>
                  </a:xfrm>
                  <a:prstGeom prst="rect"/>
                  <a:ln/>
                </pic:spPr>
              </pic:pic>
            </a:graphicData>
          </a:graphic>
        </wp:anchor>
      </w:draw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3848100</wp:posOffset>
          </wp:positionH>
          <wp:positionV relativeFrom="paragraph">
            <wp:posOffset>142875</wp:posOffset>
          </wp:positionV>
          <wp:extent cx="510540" cy="382270"/>
          <wp:effectExtent b="0" l="0" r="0" t="0"/>
          <wp:wrapSquare wrapText="bothSides" distB="0" distT="0" distL="114300" distR="114300"/>
          <wp:docPr id="9"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le.rae.es/?id=WEmQSsB#DoC6XyQ" TargetMode="External"/><Relationship Id="rId10" Type="http://schemas.openxmlformats.org/officeDocument/2006/relationships/image" Target="media/image8.png"/><Relationship Id="rId13" Type="http://schemas.openxmlformats.org/officeDocument/2006/relationships/hyperlink" Target="https://dle.rae.es/?id=WEmQSsB#DoC6XyQ" TargetMode="External"/><Relationship Id="rId12" Type="http://schemas.openxmlformats.org/officeDocument/2006/relationships/hyperlink" Target="https://dle.rae.es/?id=WEmQSsB#DoC6Xy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lmundo.es/yodona/lifestyle/2020/01/07/5e146c0dfdddffc12a8b4619.html"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ialNarrow-italic.ttf"/><Relationship Id="rId10" Type="http://schemas.openxmlformats.org/officeDocument/2006/relationships/font" Target="fonts/ArialNarrow-bold.ttf"/><Relationship Id="rId12" Type="http://schemas.openxmlformats.org/officeDocument/2006/relationships/font" Target="fonts/ArialNarrow-boldItalic.ttf"/><Relationship Id="rId9" Type="http://schemas.openxmlformats.org/officeDocument/2006/relationships/font" Target="fonts/ArialNarrow-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